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385667">
              <w:rPr>
                <w:rFonts w:ascii="Optima" w:hAnsi="Optima"/>
                <w:b/>
              </w:rPr>
              <w:t>3.MD.1</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15233E">
              <w:rPr>
                <w:rFonts w:ascii="Optima" w:hAnsi="Optima"/>
                <w:b/>
                <w:sz w:val="28"/>
                <w:szCs w:val="28"/>
              </w:rPr>
              <w:t>17-6 Problem Solving- Elapsed time</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r w:rsidR="00385667">
              <w:rPr>
                <w:rFonts w:ascii="Optima" w:hAnsi="Optima"/>
                <w:b/>
                <w:sz w:val="32"/>
              </w:rPr>
              <w:t>, by Vanessa Black and Laurel West</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385667" w:rsidP="00EF6071">
            <w:pPr>
              <w:pStyle w:val="ListParagraph"/>
              <w:rPr>
                <w:rFonts w:ascii="Optima" w:hAnsi="Optima"/>
              </w:rPr>
            </w:pPr>
            <w:r>
              <w:rPr>
                <w:rFonts w:ascii="Optima" w:hAnsi="Optima"/>
              </w:rPr>
              <w:t>Am, pm, elapsed time</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385667" w:rsidRDefault="00385667" w:rsidP="007014FF">
            <w:pPr>
              <w:contextualSpacing/>
              <w:rPr>
                <w:rFonts w:ascii="Optima" w:hAnsi="Optima"/>
              </w:rPr>
            </w:pPr>
            <w:r>
              <w:rPr>
                <w:rFonts w:ascii="Optima" w:hAnsi="Optima"/>
              </w:rPr>
              <w:t>Use a word problem that applies to your class and will interest your students.</w:t>
            </w:r>
          </w:p>
          <w:p w:rsidR="00DC5AC7" w:rsidRDefault="00385667" w:rsidP="007014FF">
            <w:pPr>
              <w:contextualSpacing/>
              <w:rPr>
                <w:rFonts w:ascii="Optima" w:hAnsi="Optima"/>
              </w:rPr>
            </w:pPr>
            <w:r>
              <w:rPr>
                <w:rFonts w:ascii="Optima" w:hAnsi="Optima"/>
              </w:rPr>
              <w:t>(ex. The big championship game starts at 2:15.  It takes 20 minutes to get ready and 15 minutes to get to the game.  What time do we need to start getting ready so we are not late to the game?</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15233E" w:rsidRDefault="0015233E" w:rsidP="0015233E">
            <w:pPr>
              <w:pStyle w:val="ListParagraph"/>
              <w:numPr>
                <w:ilvl w:val="0"/>
                <w:numId w:val="11"/>
              </w:numPr>
              <w:rPr>
                <w:rFonts w:ascii="Optima" w:hAnsi="Optima"/>
              </w:rPr>
            </w:pPr>
            <w:r>
              <w:rPr>
                <w:rFonts w:ascii="Optima" w:hAnsi="Optima"/>
              </w:rPr>
              <w:t>Review am, pm, and elapsed time</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Default="0015233E" w:rsidP="00226FDF">
            <w:pPr>
              <w:rPr>
                <w:rFonts w:ascii="Optima" w:hAnsi="Optima"/>
              </w:rPr>
            </w:pPr>
            <w:r>
              <w:rPr>
                <w:rFonts w:ascii="Optima" w:hAnsi="Optima"/>
              </w:rPr>
              <w:t xml:space="preserve">          With a partner, put each in your own words and/or pantomime.</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DC5AC7" w:rsidRDefault="0015233E" w:rsidP="00AF6808">
            <w:pPr>
              <w:ind w:left="1110"/>
              <w:rPr>
                <w:rFonts w:ascii="Optima" w:hAnsi="Optima"/>
              </w:rPr>
            </w:pPr>
            <w:r>
              <w:rPr>
                <w:rFonts w:ascii="Optima" w:hAnsi="Optima"/>
              </w:rPr>
              <w:t>Use clocks and physically move the clock’s hands backwards as you solve each problem.</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lastRenderedPageBreak/>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15233E" w:rsidP="00137C33">
            <w:pPr>
              <w:rPr>
                <w:rFonts w:ascii="Optima" w:hAnsi="Optima"/>
                <w:sz w:val="28"/>
              </w:rPr>
            </w:pPr>
            <w:r>
              <w:rPr>
                <w:rFonts w:ascii="Optima" w:hAnsi="Optima"/>
                <w:sz w:val="28"/>
              </w:rPr>
              <w:t>Using the number line, mark the beginning time and end time, with intervals of activities in between.  Refer to page 405 in book for model.</w:t>
            </w:r>
          </w:p>
          <w:p w:rsidR="00DC5AC7" w:rsidRPr="00CD2BD0" w:rsidRDefault="0015233E" w:rsidP="00AF6808">
            <w:pPr>
              <w:rPr>
                <w:rFonts w:ascii="Optima" w:hAnsi="Optima"/>
              </w:rPr>
            </w:pPr>
            <w:r>
              <w:rPr>
                <w:rFonts w:ascii="Optima" w:hAnsi="Optima"/>
              </w:rPr>
              <w:t>Do an elapsed time word problem with the concrete, representational and abstract method with the students, using the two methods below.</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15233E" w:rsidRDefault="0015233E" w:rsidP="00137C33">
            <w:pPr>
              <w:rPr>
                <w:rFonts w:ascii="Optima" w:hAnsi="Optima"/>
              </w:rPr>
            </w:pPr>
            <w:r>
              <w:rPr>
                <w:rFonts w:ascii="Optima" w:hAnsi="Optima"/>
              </w:rPr>
              <w:t xml:space="preserve">-Using the given intervals in the word problems, subtract each interval at a time using the clock’s unique measurements. </w:t>
            </w:r>
          </w:p>
          <w:p w:rsidR="00DC5AC7" w:rsidRPr="00937FAF" w:rsidRDefault="0015233E" w:rsidP="00137C33">
            <w:pPr>
              <w:rPr>
                <w:rFonts w:ascii="Optima" w:hAnsi="Optima"/>
              </w:rPr>
            </w:pPr>
            <w:r>
              <w:rPr>
                <w:rFonts w:ascii="Optima" w:hAnsi="Optima"/>
              </w:rPr>
              <w:t xml:space="preserve">-Add up the interval times, subtract total elapsed time from the end time. </w:t>
            </w:r>
          </w:p>
          <w:p w:rsidR="0015233E" w:rsidRDefault="0015233E" w:rsidP="00AF6808">
            <w:pPr>
              <w:ind w:left="1080"/>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385667" w:rsidP="00AF6808">
            <w:pPr>
              <w:ind w:left="1800"/>
              <w:rPr>
                <w:rFonts w:ascii="Optima" w:hAnsi="Optima"/>
              </w:rPr>
            </w:pPr>
            <w:r>
              <w:rPr>
                <w:rFonts w:ascii="Optima" w:hAnsi="Optima"/>
              </w:rPr>
              <w:t xml:space="preserve">Administer the 17-6 quick check problem #1 </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ab/>
            </w:r>
            <w:r w:rsidR="00385667">
              <w:rPr>
                <w:rFonts w:ascii="Optima" w:hAnsi="Optima"/>
                <w:color w:val="3366FF"/>
              </w:rPr>
              <w:t>On-level and Advanced level differentiated “Toss and Talk” activities on pg 405B of the teacher. Assign all the On-level and do the Advanced if they finish early.  They can work in partners.</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385667" w:rsidP="00AF6808">
            <w:pPr>
              <w:ind w:left="1080"/>
              <w:rPr>
                <w:rFonts w:ascii="Optima" w:hAnsi="Optima"/>
                <w:color w:val="3366FF"/>
              </w:rPr>
            </w:pPr>
            <w:r>
              <w:rPr>
                <w:rFonts w:ascii="Optima" w:hAnsi="Optima"/>
                <w:color w:val="3366FF"/>
              </w:rPr>
              <w:t>Assign the kids to come up with when they used elapsed time, write a story problem, and share it.</w:t>
            </w: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33E" w:rsidRDefault="0015233E">
      <w:r>
        <w:separator/>
      </w:r>
    </w:p>
  </w:endnote>
  <w:endnote w:type="continuationSeparator" w:id="0">
    <w:p w:rsidR="0015233E" w:rsidRDefault="00152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33E" w:rsidRDefault="0015233E"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233E" w:rsidRDefault="0015233E"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33E" w:rsidRPr="000C7C3D" w:rsidRDefault="0015233E"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1C1392">
      <w:rPr>
        <w:rStyle w:val="PageNumber"/>
        <w:rFonts w:ascii="Optima" w:hAnsi="Optima"/>
        <w:noProof/>
      </w:rPr>
      <w:t>1</w:t>
    </w:r>
    <w:r w:rsidRPr="000C7C3D">
      <w:rPr>
        <w:rStyle w:val="PageNumber"/>
        <w:rFonts w:ascii="Optima" w:hAnsi="Optima"/>
      </w:rPr>
      <w:fldChar w:fldCharType="end"/>
    </w:r>
  </w:p>
  <w:p w:rsidR="0015233E" w:rsidRDefault="0015233E"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15233E" w:rsidRPr="005713AA" w:rsidRDefault="0015233E"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15233E" w:rsidRDefault="0015233E"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33E" w:rsidRDefault="0015233E">
      <w:r>
        <w:separator/>
      </w:r>
    </w:p>
  </w:footnote>
  <w:footnote w:type="continuationSeparator" w:id="0">
    <w:p w:rsidR="0015233E" w:rsidRDefault="0015233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17094"/>
    <w:rsid w:val="00061228"/>
    <w:rsid w:val="00080498"/>
    <w:rsid w:val="000C7C3D"/>
    <w:rsid w:val="00137C33"/>
    <w:rsid w:val="0015233E"/>
    <w:rsid w:val="00173096"/>
    <w:rsid w:val="001C1392"/>
    <w:rsid w:val="0020195B"/>
    <w:rsid w:val="00226FDF"/>
    <w:rsid w:val="002F6E4F"/>
    <w:rsid w:val="00385667"/>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9236F5"/>
    <w:rsid w:val="009877DA"/>
    <w:rsid w:val="009942A2"/>
    <w:rsid w:val="00A15DDA"/>
    <w:rsid w:val="00A53859"/>
    <w:rsid w:val="00A63885"/>
    <w:rsid w:val="00A77D41"/>
    <w:rsid w:val="00A92480"/>
    <w:rsid w:val="00AF6808"/>
    <w:rsid w:val="00B45CCC"/>
    <w:rsid w:val="00BA3E9A"/>
    <w:rsid w:val="00BA6543"/>
    <w:rsid w:val="00BF5685"/>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2998</Characters>
  <Application>Microsoft Macintosh Word</Application>
  <DocSecurity>4</DocSecurity>
  <Lines>24</Lines>
  <Paragraphs>7</Paragraphs>
  <ScaleCrop>false</ScaleCrop>
  <Company>Canyons School District</Company>
  <LinksUpToDate>false</LinksUpToDate>
  <CharactersWithSpaces>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2011-08-22T16:18:00Z</dcterms:created>
  <dcterms:modified xsi:type="dcterms:W3CDTF">2011-08-22T16:18:00Z</dcterms:modified>
</cp:coreProperties>
</file>